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10" w:rsidRPr="00802D10" w:rsidRDefault="00137DF4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sub_1000"/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bookmarkStart w:id="1" w:name="_GoBack"/>
      <w:r w:rsidR="002D2198">
        <w:rPr>
          <w:rFonts w:ascii="Times New Roman" w:hAnsi="Times New Roman" w:cs="Times New Roman"/>
          <w:b/>
          <w:bCs/>
          <w:sz w:val="56"/>
          <w:szCs w:val="56"/>
        </w:rPr>
        <w:t xml:space="preserve">П </w:t>
      </w:r>
      <w:r>
        <w:rPr>
          <w:rFonts w:ascii="Times New Roman" w:hAnsi="Times New Roman" w:cs="Times New Roman"/>
          <w:b/>
          <w:bCs/>
          <w:sz w:val="56"/>
          <w:szCs w:val="56"/>
        </w:rPr>
        <w:t>О С Т А Н О В Л</w:t>
      </w:r>
      <w:r w:rsidR="00802D10" w:rsidRPr="00802D10">
        <w:rPr>
          <w:rFonts w:ascii="Times New Roman" w:hAnsi="Times New Roman" w:cs="Times New Roman"/>
          <w:b/>
          <w:bCs/>
          <w:sz w:val="56"/>
          <w:szCs w:val="56"/>
        </w:rPr>
        <w:t xml:space="preserve"> Е Н И Е</w:t>
      </w:r>
    </w:p>
    <w:p w:rsidR="00802D10" w:rsidRPr="00802D10" w:rsidRDefault="00802D10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2D10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802D10" w:rsidRPr="00802D10" w:rsidRDefault="00802D10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2D10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 РЕСПУБЛИКИ МОРДОВИЯ</w:t>
      </w:r>
    </w:p>
    <w:p w:rsidR="00802D10" w:rsidRPr="00F04832" w:rsidRDefault="00F04832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15D86">
        <w:rPr>
          <w:rFonts w:ascii="Times New Roman" w:hAnsi="Times New Roman" w:cs="Times New Roman"/>
          <w:sz w:val="28"/>
          <w:szCs w:val="28"/>
        </w:rPr>
        <w:t>О</w:t>
      </w:r>
      <w:r w:rsidR="00802D10" w:rsidRPr="00E15D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02D10" w:rsidRPr="00E15D86">
        <w:rPr>
          <w:rFonts w:ascii="Times New Roman" w:hAnsi="Times New Roman" w:cs="Times New Roman"/>
          <w:sz w:val="28"/>
          <w:szCs w:val="28"/>
        </w:rPr>
        <w:tab/>
      </w:r>
      <w:r w:rsidR="00B96F2C">
        <w:rPr>
          <w:rFonts w:ascii="Times New Roman" w:hAnsi="Times New Roman" w:cs="Times New Roman"/>
          <w:sz w:val="28"/>
          <w:szCs w:val="28"/>
        </w:rPr>
        <w:t xml:space="preserve">   </w:t>
      </w:r>
      <w:r w:rsidR="00A65D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D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2D10" w:rsidRPr="00E15D86">
        <w:rPr>
          <w:rFonts w:ascii="Times New Roman" w:hAnsi="Times New Roman" w:cs="Times New Roman"/>
          <w:sz w:val="28"/>
          <w:szCs w:val="28"/>
        </w:rPr>
        <w:t xml:space="preserve">   №</w:t>
      </w:r>
      <w:r w:rsidR="00E15D86" w:rsidRPr="00E15D86">
        <w:rPr>
          <w:rFonts w:ascii="Times New Roman" w:hAnsi="Times New Roman" w:cs="Times New Roman"/>
          <w:sz w:val="28"/>
          <w:szCs w:val="28"/>
        </w:rPr>
        <w:t xml:space="preserve"> </w:t>
      </w:r>
      <w:r w:rsidRPr="00F048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:rsidR="00E5284E" w:rsidRPr="00B57446" w:rsidRDefault="00F31288" w:rsidP="00B57446">
      <w:pPr>
        <w:widowControl/>
        <w:autoSpaceDE/>
        <w:autoSpaceDN/>
        <w:adjustRightInd/>
        <w:spacing w:line="360" w:lineRule="auto"/>
        <w:ind w:left="-360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с. К е м л я </w:t>
      </w:r>
    </w:p>
    <w:p w:rsidR="00F31288" w:rsidRPr="002D2198" w:rsidRDefault="00802D10" w:rsidP="00514D9E">
      <w:pPr>
        <w:widowControl/>
        <w:overflowPunct w:val="0"/>
        <w:autoSpaceDE/>
        <w:autoSpaceDN/>
        <w:ind w:right="3196" w:firstLine="0"/>
        <w:jc w:val="left"/>
        <w:textAlignment w:val="baseline"/>
        <w:rPr>
          <w:rFonts w:ascii="Times New Roman" w:hAnsi="Times New Roman" w:cs="Times New Roman"/>
          <w:szCs w:val="28"/>
        </w:rPr>
      </w:pPr>
      <w:r w:rsidRPr="002D2198">
        <w:rPr>
          <w:rFonts w:ascii="Times New Roman" w:hAnsi="Times New Roman" w:cs="Times New Roman"/>
          <w:szCs w:val="28"/>
        </w:rPr>
        <w:t xml:space="preserve">Об </w:t>
      </w:r>
      <w:r w:rsidR="00E5284E" w:rsidRPr="002D2198">
        <w:rPr>
          <w:rFonts w:ascii="Times New Roman" w:hAnsi="Times New Roman" w:cs="Times New Roman"/>
          <w:szCs w:val="28"/>
        </w:rPr>
        <w:t>утверждении карты комплаенс-рисков</w:t>
      </w:r>
      <w:r w:rsidR="00E860D9" w:rsidRPr="002D2198">
        <w:rPr>
          <w:rFonts w:ascii="Times New Roman" w:hAnsi="Times New Roman" w:cs="Times New Roman"/>
          <w:szCs w:val="28"/>
        </w:rPr>
        <w:t>, плана мероприятий («дорожная</w:t>
      </w:r>
      <w:r w:rsidR="00514D9E" w:rsidRPr="002D2198">
        <w:rPr>
          <w:rFonts w:ascii="Times New Roman" w:hAnsi="Times New Roman" w:cs="Times New Roman"/>
          <w:szCs w:val="28"/>
        </w:rPr>
        <w:t xml:space="preserve"> </w:t>
      </w:r>
      <w:r w:rsidR="00CE1D5E" w:rsidRPr="002D2198">
        <w:rPr>
          <w:rFonts w:ascii="Times New Roman" w:hAnsi="Times New Roman" w:cs="Times New Roman"/>
          <w:szCs w:val="28"/>
        </w:rPr>
        <w:t>к</w:t>
      </w:r>
      <w:r w:rsidR="00E5284E" w:rsidRPr="002D2198">
        <w:rPr>
          <w:rFonts w:ascii="Times New Roman" w:hAnsi="Times New Roman" w:cs="Times New Roman"/>
          <w:szCs w:val="28"/>
        </w:rPr>
        <w:t>арт</w:t>
      </w:r>
      <w:r w:rsidR="00E860D9" w:rsidRPr="002D2198">
        <w:rPr>
          <w:rFonts w:ascii="Times New Roman" w:hAnsi="Times New Roman" w:cs="Times New Roman"/>
          <w:szCs w:val="28"/>
        </w:rPr>
        <w:t>а»)</w:t>
      </w:r>
      <w:r w:rsidR="00E5284E" w:rsidRPr="002D2198">
        <w:rPr>
          <w:rFonts w:ascii="Times New Roman" w:hAnsi="Times New Roman" w:cs="Times New Roman"/>
          <w:szCs w:val="28"/>
        </w:rPr>
        <w:t xml:space="preserve"> по снижению комплаенс-рисков</w:t>
      </w:r>
      <w:r w:rsidR="00E860D9" w:rsidRPr="002D2198">
        <w:rPr>
          <w:rFonts w:ascii="Times New Roman" w:hAnsi="Times New Roman" w:cs="Times New Roman"/>
          <w:szCs w:val="28"/>
        </w:rPr>
        <w:t xml:space="preserve"> и </w:t>
      </w:r>
      <w:r w:rsidR="00CE1D5E" w:rsidRPr="002D2198">
        <w:rPr>
          <w:rFonts w:ascii="Times New Roman" w:hAnsi="Times New Roman" w:cs="Times New Roman"/>
          <w:szCs w:val="28"/>
        </w:rPr>
        <w:t xml:space="preserve">ключевых показателей эффективности антимонопольного законодательства </w:t>
      </w:r>
      <w:r w:rsidRPr="002D2198">
        <w:rPr>
          <w:rFonts w:ascii="Times New Roman" w:hAnsi="Times New Roman" w:cs="Times New Roman"/>
          <w:szCs w:val="28"/>
        </w:rPr>
        <w:t>в администрации Ичалковского</w:t>
      </w:r>
      <w:r w:rsidR="00E5284E" w:rsidRPr="002D2198">
        <w:rPr>
          <w:rFonts w:ascii="Times New Roman" w:hAnsi="Times New Roman" w:cs="Times New Roman"/>
          <w:szCs w:val="28"/>
        </w:rPr>
        <w:t xml:space="preserve"> </w:t>
      </w:r>
      <w:r w:rsidR="00D6000E" w:rsidRPr="002D2198">
        <w:rPr>
          <w:rFonts w:ascii="Times New Roman" w:hAnsi="Times New Roman" w:cs="Times New Roman"/>
          <w:szCs w:val="28"/>
        </w:rPr>
        <w:t>муниципального района</w:t>
      </w:r>
    </w:p>
    <w:p w:rsidR="00802D10" w:rsidRPr="002D2198" w:rsidRDefault="00F31288" w:rsidP="00514D9E">
      <w:pPr>
        <w:widowControl/>
        <w:overflowPunct w:val="0"/>
        <w:autoSpaceDE/>
        <w:autoSpaceDN/>
        <w:ind w:right="3196" w:firstLine="0"/>
        <w:jc w:val="left"/>
        <w:textAlignment w:val="baseline"/>
        <w:rPr>
          <w:rFonts w:ascii="Times New Roman" w:hAnsi="Times New Roman" w:cs="Times New Roman"/>
          <w:szCs w:val="28"/>
        </w:rPr>
      </w:pPr>
      <w:r w:rsidRPr="002D2198">
        <w:rPr>
          <w:rFonts w:ascii="Times New Roman" w:hAnsi="Times New Roman" w:cs="Times New Roman"/>
          <w:szCs w:val="28"/>
        </w:rPr>
        <w:t>Республики Мордовия  в 202</w:t>
      </w:r>
      <w:r w:rsidR="00B96F2C">
        <w:rPr>
          <w:rFonts w:ascii="Times New Roman" w:hAnsi="Times New Roman" w:cs="Times New Roman"/>
          <w:szCs w:val="28"/>
        </w:rPr>
        <w:t>3</w:t>
      </w:r>
      <w:r w:rsidRPr="002D2198">
        <w:rPr>
          <w:rFonts w:ascii="Times New Roman" w:hAnsi="Times New Roman" w:cs="Times New Roman"/>
          <w:szCs w:val="28"/>
        </w:rPr>
        <w:t xml:space="preserve"> году</w:t>
      </w:r>
    </w:p>
    <w:bookmarkEnd w:id="1"/>
    <w:p w:rsidR="00E5284E" w:rsidRDefault="00E5284E" w:rsidP="00802D10">
      <w:pPr>
        <w:autoSpaceDE/>
        <w:autoSpaceDN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0" w:rsidRPr="00E5284E" w:rsidRDefault="008E2E1D" w:rsidP="002D2198">
      <w:pPr>
        <w:widowControl/>
        <w:overflowPunct w:val="0"/>
        <w:autoSpaceDE/>
        <w:autoSpaceDN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284E" w:rsidRPr="00E5284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 декабря 2017 года №618</w:t>
      </w:r>
      <w:r w:rsidR="001B1B91">
        <w:rPr>
          <w:rFonts w:ascii="Times New Roman" w:hAnsi="Times New Roman" w:cs="Times New Roman"/>
          <w:sz w:val="28"/>
          <w:szCs w:val="28"/>
        </w:rPr>
        <w:t xml:space="preserve"> « Об основных направлениях государственной политики по развитию конкуренции»</w:t>
      </w:r>
      <w:r w:rsidR="00E5284E" w:rsidRPr="00E5284E">
        <w:rPr>
          <w:rFonts w:ascii="Times New Roman" w:hAnsi="Times New Roman" w:cs="Times New Roman"/>
          <w:sz w:val="28"/>
          <w:szCs w:val="28"/>
        </w:rPr>
        <w:t>,</w:t>
      </w:r>
      <w:r w:rsidR="001B1B9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18 октября 2018 г. № 2258-р о методических рекомендациях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 и  </w:t>
      </w:r>
      <w:r w:rsidR="00E860D9">
        <w:rPr>
          <w:rFonts w:ascii="Times New Roman" w:hAnsi="Times New Roman" w:cs="Times New Roman"/>
          <w:sz w:val="28"/>
          <w:szCs w:val="28"/>
        </w:rPr>
        <w:t>р</w:t>
      </w:r>
      <w:r w:rsidRPr="00E5284E">
        <w:rPr>
          <w:rFonts w:ascii="Times New Roman" w:hAnsi="Times New Roman" w:cs="Times New Roman"/>
          <w:sz w:val="28"/>
          <w:szCs w:val="28"/>
        </w:rPr>
        <w:t>аспоряжени</w:t>
      </w:r>
      <w:r w:rsidR="00E5284E" w:rsidRPr="00E5284E">
        <w:rPr>
          <w:rFonts w:ascii="Times New Roman" w:hAnsi="Times New Roman" w:cs="Times New Roman"/>
          <w:sz w:val="28"/>
          <w:szCs w:val="28"/>
        </w:rPr>
        <w:t>ем</w:t>
      </w:r>
      <w:r w:rsidRPr="00E5284E">
        <w:rPr>
          <w:rFonts w:ascii="Times New Roman" w:hAnsi="Times New Roman" w:cs="Times New Roman"/>
          <w:sz w:val="28"/>
          <w:szCs w:val="28"/>
        </w:rPr>
        <w:t xml:space="preserve"> </w:t>
      </w:r>
      <w:r w:rsidR="00691329">
        <w:rPr>
          <w:rFonts w:ascii="Times New Roman" w:hAnsi="Times New Roman" w:cs="Times New Roman"/>
          <w:sz w:val="28"/>
          <w:szCs w:val="28"/>
        </w:rPr>
        <w:t>администрации Ичалковского муниципального района  от 11 марта 2019 года №30 «</w:t>
      </w:r>
      <w:r w:rsidR="00691329" w:rsidRPr="00802D10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</w:t>
      </w:r>
      <w:r w:rsidR="00691329">
        <w:rPr>
          <w:rFonts w:ascii="Times New Roman" w:hAnsi="Times New Roman" w:cs="Times New Roman"/>
          <w:sz w:val="28"/>
          <w:szCs w:val="28"/>
        </w:rPr>
        <w:t xml:space="preserve"> </w:t>
      </w:r>
      <w:r w:rsidR="00691329" w:rsidRPr="00802D10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 в администрации Ичалковского</w:t>
      </w:r>
      <w:r w:rsidR="006913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D2198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691329">
        <w:rPr>
          <w:rFonts w:ascii="Times New Roman" w:hAnsi="Times New Roman" w:cs="Times New Roman"/>
          <w:sz w:val="28"/>
          <w:szCs w:val="28"/>
        </w:rPr>
        <w:t>»</w:t>
      </w:r>
      <w:r w:rsidR="002D2198">
        <w:rPr>
          <w:rFonts w:ascii="Times New Roman" w:hAnsi="Times New Roman" w:cs="Times New Roman"/>
          <w:sz w:val="28"/>
          <w:szCs w:val="28"/>
        </w:rPr>
        <w:t xml:space="preserve"> </w:t>
      </w:r>
      <w:r w:rsidR="002D2198" w:rsidRPr="00B5744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02D10" w:rsidRPr="00B57446">
        <w:rPr>
          <w:rFonts w:ascii="Times New Roman" w:hAnsi="Times New Roman" w:cs="Times New Roman"/>
          <w:b/>
          <w:sz w:val="28"/>
          <w:szCs w:val="28"/>
        </w:rPr>
        <w:t>:</w:t>
      </w:r>
    </w:p>
    <w:p w:rsidR="00105015" w:rsidRPr="00E5284E" w:rsidRDefault="00802D10" w:rsidP="002D21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284E">
        <w:rPr>
          <w:rFonts w:ascii="Times New Roman" w:hAnsi="Times New Roman" w:cs="Times New Roman"/>
          <w:sz w:val="28"/>
          <w:szCs w:val="28"/>
        </w:rPr>
        <w:t>1.</w:t>
      </w:r>
      <w:r w:rsidR="00E5284E" w:rsidRPr="00E5284E">
        <w:rPr>
          <w:rFonts w:ascii="Times New Roman" w:hAnsi="Times New Roman" w:cs="Times New Roman"/>
          <w:sz w:val="28"/>
          <w:szCs w:val="28"/>
        </w:rPr>
        <w:t xml:space="preserve"> Утвердить к</w:t>
      </w:r>
      <w:r w:rsidR="00E5284E" w:rsidRPr="00E5284E">
        <w:rPr>
          <w:rFonts w:ascii="Times New Roman" w:hAnsi="Times New Roman"/>
          <w:sz w:val="28"/>
          <w:szCs w:val="28"/>
        </w:rPr>
        <w:t xml:space="preserve">арту комплаенс-рисков </w:t>
      </w:r>
      <w:r w:rsidR="002D2198">
        <w:rPr>
          <w:rFonts w:ascii="Times New Roman" w:hAnsi="Times New Roman"/>
          <w:sz w:val="28"/>
          <w:szCs w:val="28"/>
        </w:rPr>
        <w:t xml:space="preserve">в </w:t>
      </w:r>
      <w:r w:rsidR="00E5284E" w:rsidRPr="00E5284E">
        <w:rPr>
          <w:rFonts w:ascii="Times New Roman" w:hAnsi="Times New Roman"/>
          <w:sz w:val="28"/>
          <w:szCs w:val="28"/>
        </w:rPr>
        <w:t>администрации Ичалковского муниципального района (приложение 1)</w:t>
      </w:r>
      <w:r w:rsidR="00096103" w:rsidRPr="00E5284E">
        <w:rPr>
          <w:rFonts w:ascii="Times New Roman" w:hAnsi="Times New Roman" w:cs="Times New Roman"/>
          <w:sz w:val="28"/>
          <w:szCs w:val="28"/>
        </w:rPr>
        <w:t>.</w:t>
      </w:r>
    </w:p>
    <w:p w:rsidR="00E5284E" w:rsidRDefault="00802D10" w:rsidP="002D21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284E">
        <w:rPr>
          <w:rFonts w:ascii="Times New Roman" w:hAnsi="Times New Roman" w:cs="Times New Roman"/>
          <w:sz w:val="28"/>
          <w:szCs w:val="28"/>
        </w:rPr>
        <w:t>2.</w:t>
      </w:r>
      <w:r w:rsidR="00E5284E" w:rsidRPr="00E5284E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91329">
        <w:rPr>
          <w:rFonts w:ascii="Times New Roman" w:hAnsi="Times New Roman" w:cs="Times New Roman"/>
          <w:sz w:val="28"/>
          <w:szCs w:val="28"/>
        </w:rPr>
        <w:t>план мероприятий «д</w:t>
      </w:r>
      <w:r w:rsidR="00E5284E" w:rsidRPr="00E5284E">
        <w:rPr>
          <w:rFonts w:ascii="Times New Roman" w:hAnsi="Times New Roman" w:cs="Times New Roman"/>
          <w:sz w:val="28"/>
          <w:szCs w:val="28"/>
        </w:rPr>
        <w:t xml:space="preserve">орожную карту» по снижению комплаенс-рисков </w:t>
      </w:r>
      <w:r w:rsidR="002D2198">
        <w:rPr>
          <w:rFonts w:ascii="Times New Roman" w:hAnsi="Times New Roman" w:cs="Times New Roman"/>
          <w:sz w:val="28"/>
          <w:szCs w:val="28"/>
        </w:rPr>
        <w:t xml:space="preserve">в </w:t>
      </w:r>
      <w:r w:rsidR="00E5284E" w:rsidRPr="00E5284E">
        <w:rPr>
          <w:rFonts w:ascii="Times New Roman" w:hAnsi="Times New Roman"/>
          <w:sz w:val="28"/>
          <w:szCs w:val="28"/>
        </w:rPr>
        <w:t xml:space="preserve">администрации Ичалковского муниципального района </w:t>
      </w:r>
      <w:r w:rsidR="00691329">
        <w:rPr>
          <w:rFonts w:ascii="Times New Roman" w:hAnsi="Times New Roman"/>
          <w:sz w:val="28"/>
          <w:szCs w:val="28"/>
        </w:rPr>
        <w:t>на 20</w:t>
      </w:r>
      <w:r w:rsidR="00740474">
        <w:rPr>
          <w:rFonts w:ascii="Times New Roman" w:hAnsi="Times New Roman"/>
          <w:sz w:val="28"/>
          <w:szCs w:val="28"/>
        </w:rPr>
        <w:t>2</w:t>
      </w:r>
      <w:r w:rsidR="00B96F2C">
        <w:rPr>
          <w:rFonts w:ascii="Times New Roman" w:hAnsi="Times New Roman"/>
          <w:sz w:val="28"/>
          <w:szCs w:val="28"/>
        </w:rPr>
        <w:t>3</w:t>
      </w:r>
      <w:r w:rsidR="00B57446">
        <w:rPr>
          <w:rFonts w:ascii="Times New Roman" w:hAnsi="Times New Roman"/>
          <w:sz w:val="28"/>
          <w:szCs w:val="28"/>
        </w:rPr>
        <w:t xml:space="preserve"> </w:t>
      </w:r>
      <w:r w:rsidR="00691329">
        <w:rPr>
          <w:rFonts w:ascii="Times New Roman" w:hAnsi="Times New Roman"/>
          <w:sz w:val="28"/>
          <w:szCs w:val="28"/>
        </w:rPr>
        <w:t xml:space="preserve">год </w:t>
      </w:r>
      <w:r w:rsidR="00E5284E" w:rsidRPr="00E5284E">
        <w:rPr>
          <w:rFonts w:ascii="Times New Roman" w:hAnsi="Times New Roman"/>
          <w:sz w:val="28"/>
          <w:szCs w:val="28"/>
        </w:rPr>
        <w:t>(приложение 2)</w:t>
      </w:r>
      <w:r w:rsidR="00E5284E" w:rsidRPr="00E5284E">
        <w:rPr>
          <w:rFonts w:ascii="Times New Roman" w:hAnsi="Times New Roman" w:cs="Times New Roman"/>
          <w:sz w:val="28"/>
          <w:szCs w:val="28"/>
        </w:rPr>
        <w:t>.</w:t>
      </w:r>
    </w:p>
    <w:p w:rsidR="00691329" w:rsidRDefault="00691329" w:rsidP="002D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ключевые показатели эффективности антимонопольного </w:t>
      </w:r>
      <w:r w:rsidR="00CE1D5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98">
        <w:rPr>
          <w:rFonts w:ascii="Times New Roman" w:hAnsi="Times New Roman" w:cs="Times New Roman"/>
          <w:sz w:val="28"/>
          <w:szCs w:val="28"/>
        </w:rPr>
        <w:t xml:space="preserve">в </w:t>
      </w:r>
      <w:r w:rsidRPr="00E5284E">
        <w:rPr>
          <w:rFonts w:ascii="Times New Roman" w:hAnsi="Times New Roman"/>
          <w:sz w:val="28"/>
          <w:szCs w:val="28"/>
        </w:rPr>
        <w:t xml:space="preserve">администрации Ичалковского муниципального района </w:t>
      </w:r>
      <w:r>
        <w:rPr>
          <w:rFonts w:ascii="Times New Roman" w:hAnsi="Times New Roman"/>
          <w:sz w:val="28"/>
          <w:szCs w:val="28"/>
        </w:rPr>
        <w:t>на 20</w:t>
      </w:r>
      <w:r w:rsidR="00740474">
        <w:rPr>
          <w:rFonts w:ascii="Times New Roman" w:hAnsi="Times New Roman"/>
          <w:sz w:val="28"/>
          <w:szCs w:val="28"/>
        </w:rPr>
        <w:t>2</w:t>
      </w:r>
      <w:r w:rsidR="00B96F2C">
        <w:rPr>
          <w:rFonts w:ascii="Times New Roman" w:hAnsi="Times New Roman"/>
          <w:sz w:val="28"/>
          <w:szCs w:val="28"/>
        </w:rPr>
        <w:t>3</w:t>
      </w:r>
      <w:r w:rsidR="00B57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F11D58">
        <w:rPr>
          <w:rFonts w:ascii="Times New Roman" w:hAnsi="Times New Roman"/>
          <w:sz w:val="28"/>
          <w:szCs w:val="28"/>
        </w:rPr>
        <w:t xml:space="preserve"> (приложение 3</w:t>
      </w:r>
      <w:r w:rsidRPr="00E5284E">
        <w:rPr>
          <w:rFonts w:ascii="Times New Roman" w:hAnsi="Times New Roman"/>
          <w:sz w:val="28"/>
          <w:szCs w:val="28"/>
        </w:rPr>
        <w:t>)</w:t>
      </w:r>
      <w:r w:rsidRPr="00E5284E">
        <w:rPr>
          <w:rFonts w:ascii="Times New Roman" w:hAnsi="Times New Roman" w:cs="Times New Roman"/>
          <w:sz w:val="28"/>
          <w:szCs w:val="28"/>
        </w:rPr>
        <w:t>.</w:t>
      </w:r>
    </w:p>
    <w:p w:rsidR="00F31288" w:rsidRPr="00F31288" w:rsidRDefault="00F31288" w:rsidP="002D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 xml:space="preserve">Контроль за исполнением настоящего </w:t>
      </w:r>
      <w:r w:rsidR="002D219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постановления</w:t>
      </w:r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 xml:space="preserve"> возложить на заместителя Главы – начальника управления экономики и муниципальных программ администрации Ичалковского района -  </w:t>
      </w:r>
      <w:r w:rsidR="00B96F2C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Л.И. Кортунову</w:t>
      </w:r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.</w:t>
      </w:r>
    </w:p>
    <w:p w:rsidR="00802D10" w:rsidRPr="00F31288" w:rsidRDefault="00F31288" w:rsidP="002D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02D10" w:rsidRPr="00F3128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02D10" w:rsidRPr="00F312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2198">
        <w:rPr>
          <w:rFonts w:ascii="Times New Roman" w:hAnsi="Times New Roman" w:cs="Times New Roman"/>
          <w:sz w:val="28"/>
          <w:szCs w:val="28"/>
        </w:rPr>
        <w:t>постановление</w:t>
      </w:r>
      <w:r w:rsidR="00802D10" w:rsidRPr="00F3128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B57446">
        <w:rPr>
          <w:rFonts w:ascii="Times New Roman" w:hAnsi="Times New Roman" w:cs="Times New Roman"/>
          <w:sz w:val="28"/>
          <w:szCs w:val="28"/>
        </w:rPr>
        <w:t>с 1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</w:t>
      </w:r>
      <w:r w:rsidR="009A7F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на официальном сайте </w:t>
      </w:r>
      <w:r w:rsidR="002D219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Ича</w:t>
      </w:r>
      <w:r w:rsidR="002D2198">
        <w:rPr>
          <w:rFonts w:ascii="Times New Roman" w:hAnsi="Times New Roman" w:cs="Times New Roman"/>
          <w:sz w:val="28"/>
          <w:szCs w:val="28"/>
        </w:rPr>
        <w:t xml:space="preserve">лковского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F31288" w:rsidRPr="00802D10" w:rsidRDefault="00F31288" w:rsidP="00802D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02D10" w:rsidRPr="00802D10" w:rsidRDefault="00802D10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2D10">
        <w:rPr>
          <w:rFonts w:ascii="Times New Roman" w:hAnsi="Times New Roman" w:cs="Times New Roman"/>
          <w:sz w:val="28"/>
          <w:szCs w:val="28"/>
        </w:rPr>
        <w:t>Глав</w:t>
      </w:r>
      <w:r w:rsidR="00E5284E">
        <w:rPr>
          <w:rFonts w:ascii="Times New Roman" w:hAnsi="Times New Roman" w:cs="Times New Roman"/>
          <w:sz w:val="28"/>
          <w:szCs w:val="28"/>
        </w:rPr>
        <w:t>а</w:t>
      </w:r>
      <w:r w:rsidRPr="00802D10">
        <w:rPr>
          <w:rFonts w:ascii="Times New Roman" w:hAnsi="Times New Roman" w:cs="Times New Roman"/>
          <w:sz w:val="28"/>
          <w:szCs w:val="28"/>
        </w:rPr>
        <w:t xml:space="preserve"> Ичалковского</w:t>
      </w:r>
    </w:p>
    <w:p w:rsidR="00802D10" w:rsidRDefault="00802D10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2D1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</w:t>
      </w:r>
      <w:r w:rsidR="00E5284E">
        <w:rPr>
          <w:rFonts w:ascii="Times New Roman" w:hAnsi="Times New Roman" w:cs="Times New Roman"/>
          <w:sz w:val="28"/>
          <w:szCs w:val="28"/>
        </w:rPr>
        <w:t>В.Г. Дмитриева</w:t>
      </w:r>
    </w:p>
    <w:p w:rsidR="00B57446" w:rsidRDefault="00B57446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7446" w:rsidRPr="00B57446" w:rsidRDefault="00B57446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8"/>
        </w:rPr>
      </w:pPr>
      <w:r w:rsidRPr="00B57446">
        <w:rPr>
          <w:rFonts w:ascii="Times New Roman" w:hAnsi="Times New Roman" w:cs="Times New Roman"/>
          <w:szCs w:val="28"/>
        </w:rPr>
        <w:t>Исп. Дяденова Ю.В.</w:t>
      </w:r>
    </w:p>
    <w:p w:rsidR="00802D10" w:rsidRPr="00802D10" w:rsidRDefault="00802D10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2D10" w:rsidRPr="00802D10" w:rsidRDefault="00802D10" w:rsidP="00442D0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02D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BFB" w:rsidRDefault="000C1BFB" w:rsidP="00442D0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C1BFB" w:rsidRPr="00AE6A17" w:rsidRDefault="000C1BFB" w:rsidP="00442D0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Default="00E5284E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sectPr w:rsidR="008F6EF1" w:rsidSect="002D2198">
          <w:footerReference w:type="default" r:id="rId8"/>
          <w:pgSz w:w="11900" w:h="16800"/>
          <w:pgMar w:top="426" w:right="800" w:bottom="426" w:left="993" w:header="720" w:footer="720" w:gutter="0"/>
          <w:cols w:space="720"/>
          <w:noEndnote/>
        </w:sectPr>
      </w:pPr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0C1BFB" w:rsidRDefault="000C1BFB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>Приложение 1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к </w:t>
      </w:r>
      <w:r w:rsidR="005E0012">
        <w:rPr>
          <w:rFonts w:ascii="Times New Roman" w:hAnsi="Times New Roman" w:cs="Times New Roman"/>
          <w:kern w:val="2"/>
          <w:sz w:val="26"/>
          <w:szCs w:val="26"/>
          <w:lang w:eastAsia="zh-CN"/>
        </w:rPr>
        <w:t>постановл</w:t>
      </w: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ению администрации 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kern w:val="2"/>
          <w:sz w:val="22"/>
          <w:szCs w:val="22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>Ичалковского муниципального района</w:t>
      </w:r>
    </w:p>
    <w:p w:rsidR="008F6EF1" w:rsidRPr="00F04832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kern w:val="2"/>
          <w:sz w:val="22"/>
          <w:szCs w:val="22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                                                                                   «_</w:t>
      </w:r>
      <w:r w:rsidR="00F04832" w:rsidRPr="00F04832">
        <w:rPr>
          <w:rFonts w:ascii="Times New Roman" w:hAnsi="Times New Roman" w:cs="Times New Roman"/>
          <w:kern w:val="2"/>
          <w:sz w:val="26"/>
          <w:szCs w:val="26"/>
          <w:u w:val="single"/>
          <w:lang w:eastAsia="zh-CN"/>
        </w:rPr>
        <w:t>11</w:t>
      </w:r>
      <w:r w:rsidRPr="00F04832">
        <w:rPr>
          <w:rFonts w:ascii="Times New Roman" w:hAnsi="Times New Roman" w:cs="Times New Roman"/>
          <w:kern w:val="2"/>
          <w:sz w:val="26"/>
          <w:szCs w:val="26"/>
          <w:u w:val="single"/>
          <w:lang w:eastAsia="zh-CN"/>
        </w:rPr>
        <w:t>»</w:t>
      </w:r>
      <w:r w:rsidRPr="00F0483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_</w:t>
      </w:r>
      <w:r w:rsidR="00F04832" w:rsidRPr="00F04832">
        <w:rPr>
          <w:rFonts w:ascii="Times New Roman" w:hAnsi="Times New Roman" w:cs="Times New Roman"/>
          <w:kern w:val="2"/>
          <w:sz w:val="26"/>
          <w:szCs w:val="26"/>
          <w:u w:val="single"/>
          <w:lang w:eastAsia="zh-CN"/>
        </w:rPr>
        <w:t>ноября</w:t>
      </w:r>
      <w:r w:rsidRPr="00F0483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20</w:t>
      </w:r>
      <w:r w:rsidR="00740474" w:rsidRPr="00F04832">
        <w:rPr>
          <w:rFonts w:ascii="Times New Roman" w:hAnsi="Times New Roman" w:cs="Times New Roman"/>
          <w:kern w:val="2"/>
          <w:sz w:val="26"/>
          <w:szCs w:val="26"/>
          <w:lang w:eastAsia="zh-CN"/>
        </w:rPr>
        <w:t>22</w:t>
      </w:r>
      <w:r w:rsidRPr="00F0483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г.</w:t>
      </w:r>
      <w:r w:rsidR="008B2190" w:rsidRPr="00F0483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№</w:t>
      </w:r>
      <w:r w:rsidR="00F0483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F04832" w:rsidRPr="00F04832">
        <w:rPr>
          <w:rFonts w:ascii="Times New Roman" w:hAnsi="Times New Roman" w:cs="Times New Roman"/>
          <w:kern w:val="2"/>
          <w:sz w:val="26"/>
          <w:szCs w:val="26"/>
          <w:u w:val="single"/>
          <w:lang w:eastAsia="zh-CN"/>
        </w:rPr>
        <w:t>718</w:t>
      </w:r>
    </w:p>
    <w:p w:rsidR="008F6EF1" w:rsidRPr="00F04832" w:rsidRDefault="008F6EF1" w:rsidP="008F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kern w:val="2"/>
          <w:sz w:val="22"/>
          <w:szCs w:val="22"/>
          <w:lang w:eastAsia="zh-CN"/>
        </w:rPr>
      </w:pPr>
      <w:r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Карта комплаенс-рисков</w:t>
      </w:r>
      <w:r w:rsidR="005E0012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 xml:space="preserve"> в</w:t>
      </w:r>
    </w:p>
    <w:p w:rsidR="008F6EF1" w:rsidRPr="008F6EF1" w:rsidRDefault="00B309EB" w:rsidP="008F6EF1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kern w:val="2"/>
          <w:sz w:val="22"/>
          <w:szCs w:val="22"/>
          <w:lang w:eastAsia="zh-CN"/>
        </w:rPr>
      </w:pPr>
      <w:r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а</w:t>
      </w:r>
      <w:r w:rsidR="008F6EF1"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дминистрации Ичалковского муниципального района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</w:pPr>
    </w:p>
    <w:tbl>
      <w:tblPr>
        <w:tblW w:w="15005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571"/>
        <w:gridCol w:w="1934"/>
        <w:gridCol w:w="2647"/>
        <w:gridCol w:w="3402"/>
        <w:gridCol w:w="3404"/>
        <w:gridCol w:w="1530"/>
        <w:gridCol w:w="1517"/>
      </w:tblGrid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№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Уровень риска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вид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риска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(описание)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причины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возникновения (описание)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общие меры по минимизации и устранению рисков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наличие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(отсутствие) остаточных рисков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57" w:right="-57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вероятность повторного возникновения рисков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1231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В сфере формирования  </w:t>
            </w:r>
            <w:r w:rsidR="00123155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документов стратегического планирования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Ичалковского муниципального района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Существенный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B20FF8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документов системы стратегического планирования и</w:t>
            </w:r>
            <w:r w:rsidRPr="008F6EF1">
              <w:rPr>
                <w:rFonts w:ascii="Times New Roman" w:hAnsi="Times New Roman" w:cs="Times New Roman"/>
              </w:rPr>
              <w:t xml:space="preserve"> нормативных правовых актов, регламентирующих деятельность хозяйствующих субъектов, содер</w:t>
            </w:r>
            <w:r>
              <w:rPr>
                <w:rFonts w:ascii="Times New Roman" w:hAnsi="Times New Roman" w:cs="Times New Roman"/>
              </w:rPr>
              <w:t>жащих дискриминационные условия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недостаточное знание действующего законодательства;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несвоевременное отслежив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ание изменений законодательства;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9E48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9E48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>егулярное обучение сотрудников</w:t>
            </w:r>
          </w:p>
          <w:p w:rsidR="00B20FF8" w:rsidRPr="008F6EF1" w:rsidRDefault="00B20FF8" w:rsidP="009E481A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9E481A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инвестиционной</w:t>
            </w:r>
            <w:r w:rsidR="00123155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и предпринимательской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деятельности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Существенный</w:t>
            </w:r>
          </w:p>
          <w:p w:rsidR="00B20FF8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Разработка НПА, затрагивающие вопросы инвестиционной и предпринимательской деятельности с </w:t>
            </w:r>
            <w:r>
              <w:rPr>
                <w:rFonts w:ascii="Times New Roman" w:hAnsi="Times New Roman" w:cs="Times New Roman"/>
              </w:rPr>
              <w:lastRenderedPageBreak/>
              <w:t>нарушениями, запреты и ограничения для хозяйствующих субъектов</w:t>
            </w: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предоставление преимущественных условий отдельным хозяйствующим субъектам;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несоблюдение установленных  </w:t>
            </w: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процедур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Доступность и открытость информации о НПА в сфере инвестиционной и предпринимательской деятельности</w:t>
            </w:r>
          </w:p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N/>
              <w:adjustRightInd/>
              <w:ind w:firstLine="34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Выявление и снижение рисков, предотвращение и (или) выявление нарушений, запреты и ограничения для хозяйствующих субъектов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lastRenderedPageBreak/>
              <w:t xml:space="preserve">В сфере закупок товаров, работ, услуг для обеспечения </w:t>
            </w:r>
            <w:r w:rsidR="00F57FE2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государственных и 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муниципальных нужд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Высокий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F6EF1">
              <w:rPr>
                <w:rFonts w:ascii="Times New Roman" w:hAnsi="Times New Roman" w:cs="Times New Roman"/>
              </w:rPr>
              <w:t>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ограничение количества участников закупки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недостаточный опыт применения законодательства о контрактной системе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 регулярное </w:t>
            </w:r>
          </w:p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регулярное </w:t>
            </w:r>
            <w:r w:rsidRPr="008F6EF1">
              <w:rPr>
                <w:rFonts w:ascii="Times New Roman" w:hAnsi="Times New Roman" w:cs="Times New Roman"/>
              </w:rPr>
              <w:t>обучение сотрудников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предоставления</w:t>
            </w:r>
            <w:r w:rsidR="00123155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государственных и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муниципальных услуг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Существенный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истребование документов, непредусмотренных действующим законодательством при предоставлении муниципальных услуг</w:t>
            </w: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нарушение установленных законодательством сроков предоставления муниципальных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нарушение единообразия, предоставление преимуществ отдельным хозяйствующим субъектам;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несоблюдение установленных  процедур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отсутствие разъяснений и правоприменительной практики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недостаточная квалификация и опыт сотрудников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CB47A2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N/>
              <w:adjustRightInd/>
              <w:snapToGrid w:val="0"/>
              <w:ind w:firstLine="34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  <w:r w:rsidRPr="008F6EF1"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</w:tbl>
    <w:p w:rsidR="00A33DC7" w:rsidRDefault="00A33DC7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Default="008F6EF1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8F6EF1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 2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к </w:t>
      </w:r>
      <w:r w:rsidR="005E0012">
        <w:rPr>
          <w:rFonts w:ascii="Times New Roman" w:hAnsi="Times New Roman" w:cs="Times New Roman"/>
          <w:sz w:val="26"/>
          <w:szCs w:val="26"/>
          <w:lang w:eastAsia="en-US"/>
        </w:rPr>
        <w:t>постановл</w:t>
      </w:r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ению администрации 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r w:rsidRPr="008F6EF1">
        <w:rPr>
          <w:rFonts w:ascii="Times New Roman" w:hAnsi="Times New Roman" w:cs="Times New Roman"/>
          <w:sz w:val="26"/>
          <w:szCs w:val="26"/>
          <w:lang w:eastAsia="en-US"/>
        </w:rPr>
        <w:t>Ичалковского муниципального района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«___» __________ 20</w:t>
      </w:r>
      <w:r w:rsidR="00BC1242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 г.</w:t>
      </w:r>
      <w:r w:rsidR="00C0172A">
        <w:rPr>
          <w:rFonts w:ascii="Times New Roman" w:hAnsi="Times New Roman" w:cs="Times New Roman"/>
          <w:sz w:val="26"/>
          <w:szCs w:val="26"/>
          <w:lang w:eastAsia="en-US"/>
        </w:rPr>
        <w:t xml:space="preserve"> №_____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EF1">
        <w:rPr>
          <w:rFonts w:ascii="Times New Roman" w:hAnsi="Times New Roman" w:cs="Times New Roman"/>
          <w:sz w:val="28"/>
          <w:szCs w:val="28"/>
          <w:lang w:eastAsia="en-US"/>
        </w:rPr>
        <w:t xml:space="preserve">План мероприятий  «дорожная карта» 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EF1">
        <w:rPr>
          <w:rFonts w:ascii="Times New Roman" w:hAnsi="Times New Roman" w:cs="Times New Roman"/>
          <w:sz w:val="28"/>
          <w:szCs w:val="28"/>
          <w:lang w:eastAsia="en-US"/>
        </w:rPr>
        <w:t>по снижению комплаенс-рисков</w:t>
      </w:r>
      <w:r w:rsidR="005E0012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8F6EF1">
        <w:rPr>
          <w:rFonts w:ascii="Times New Roman" w:hAnsi="Times New Roman" w:cs="Times New Roman"/>
          <w:sz w:val="28"/>
          <w:szCs w:val="28"/>
          <w:lang w:eastAsia="en-US"/>
        </w:rPr>
        <w:t>администрации Ичалковского муниципального района на  20</w:t>
      </w:r>
      <w:r w:rsidR="00BC124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96F2C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F6EF1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1"/>
        <w:tblW w:w="5052" w:type="pct"/>
        <w:tblInd w:w="-34" w:type="dxa"/>
        <w:tblLook w:val="04A0" w:firstRow="1" w:lastRow="0" w:firstColumn="1" w:lastColumn="0" w:noHBand="0" w:noVBand="1"/>
      </w:tblPr>
      <w:tblGrid>
        <w:gridCol w:w="2661"/>
        <w:gridCol w:w="3594"/>
        <w:gridCol w:w="3952"/>
        <w:gridCol w:w="3117"/>
        <w:gridCol w:w="1577"/>
      </w:tblGrid>
      <w:tr w:rsidR="004A7B83" w:rsidRPr="008F6EF1" w:rsidTr="005F3111">
        <w:trPr>
          <w:trHeight w:val="1298"/>
        </w:trPr>
        <w:tc>
          <w:tcPr>
            <w:tcW w:w="893" w:type="pct"/>
            <w:vAlign w:val="center"/>
            <w:hideMark/>
          </w:tcPr>
          <w:p w:rsidR="00C411EA" w:rsidRPr="00D41B5A" w:rsidRDefault="00C411EA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5A">
              <w:rPr>
                <w:rFonts w:ascii="Times New Roman" w:hAnsi="Times New Roman" w:cs="Times New Roman"/>
              </w:rPr>
              <w:t>Комплаенс-риск</w:t>
            </w:r>
          </w:p>
        </w:tc>
        <w:tc>
          <w:tcPr>
            <w:tcW w:w="1206" w:type="pct"/>
            <w:vAlign w:val="center"/>
            <w:hideMark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F6EF1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1326" w:type="pct"/>
            <w:vAlign w:val="center"/>
            <w:hideMark/>
          </w:tcPr>
          <w:p w:rsidR="00C411EA" w:rsidRPr="008F6EF1" w:rsidRDefault="004A7B83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046" w:type="pct"/>
            <w:vAlign w:val="center"/>
            <w:hideMark/>
          </w:tcPr>
          <w:p w:rsidR="00C411EA" w:rsidRPr="008F6EF1" w:rsidRDefault="00C411EA" w:rsidP="00C411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529" w:type="pct"/>
            <w:vAlign w:val="center"/>
            <w:hideMark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123155" w:rsidRPr="008F6EF1" w:rsidTr="00123155">
        <w:trPr>
          <w:trHeight w:val="151"/>
        </w:trPr>
        <w:tc>
          <w:tcPr>
            <w:tcW w:w="5000" w:type="pct"/>
            <w:gridSpan w:val="5"/>
            <w:vAlign w:val="center"/>
          </w:tcPr>
          <w:p w:rsidR="00123155" w:rsidRPr="00D41B5A" w:rsidRDefault="00123155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формирования  документов стратегического планирования Ичалковского муниципального района</w:t>
            </w:r>
          </w:p>
        </w:tc>
      </w:tr>
      <w:tr w:rsidR="004A7B83" w:rsidRPr="008F6EF1" w:rsidTr="00B96F2C">
        <w:trPr>
          <w:trHeight w:val="3042"/>
        </w:trPr>
        <w:tc>
          <w:tcPr>
            <w:tcW w:w="893" w:type="pct"/>
          </w:tcPr>
          <w:p w:rsidR="00C411EA" w:rsidRPr="008F6EF1" w:rsidRDefault="00C411EA" w:rsidP="00B309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документов системы стратегического планирования и</w:t>
            </w:r>
            <w:r w:rsidRPr="008F6EF1">
              <w:rPr>
                <w:rFonts w:ascii="Times New Roman" w:hAnsi="Times New Roman" w:cs="Times New Roman"/>
              </w:rPr>
              <w:t xml:space="preserve"> нормативных правовых актов, регламентирующих деятельность хозяйствующих субъектов, содер</w:t>
            </w:r>
            <w:r w:rsidR="00683BFA">
              <w:rPr>
                <w:rFonts w:ascii="Times New Roman" w:hAnsi="Times New Roman" w:cs="Times New Roman"/>
              </w:rPr>
              <w:t>жащих дискриминационные услови</w:t>
            </w:r>
            <w:r w:rsidR="00B309E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06" w:type="pct"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>егулярное обучение сотрудников</w:t>
            </w:r>
          </w:p>
          <w:p w:rsidR="00C411EA" w:rsidRPr="008F6EF1" w:rsidRDefault="00C411EA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96F2C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  <w:p w:rsidR="00B96F2C" w:rsidRPr="00B96F2C" w:rsidRDefault="00B96F2C" w:rsidP="00B96F2C">
            <w:pPr>
              <w:rPr>
                <w:rFonts w:ascii="Times New Roman" w:hAnsi="Times New Roman" w:cs="Times New Roman"/>
              </w:rPr>
            </w:pPr>
          </w:p>
          <w:p w:rsidR="00B96F2C" w:rsidRPr="00B96F2C" w:rsidRDefault="00B96F2C" w:rsidP="00B96F2C">
            <w:pPr>
              <w:rPr>
                <w:rFonts w:ascii="Times New Roman" w:hAnsi="Times New Roman" w:cs="Times New Roman"/>
              </w:rPr>
            </w:pPr>
          </w:p>
          <w:p w:rsidR="00B96F2C" w:rsidRDefault="00B96F2C" w:rsidP="00B96F2C">
            <w:pPr>
              <w:rPr>
                <w:rFonts w:ascii="Times New Roman" w:hAnsi="Times New Roman" w:cs="Times New Roman"/>
              </w:rPr>
            </w:pPr>
          </w:p>
          <w:p w:rsidR="00C411EA" w:rsidRPr="00B96F2C" w:rsidRDefault="00C411EA" w:rsidP="00B96F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pct"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Обучение согласно утвержденному плану графику на текущий календарный год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Проведение семинаров – совещаний, круглых столов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83BFA" w:rsidRDefault="00683BFA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Соблюдение требований законодательства, наставничество;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C411EA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Отдел по работе с персоналом администрации Ича</w:t>
            </w:r>
            <w:r w:rsidR="00683BFA">
              <w:rPr>
                <w:rFonts w:ascii="Times New Roman" w:hAnsi="Times New Roman" w:cs="Times New Roman"/>
              </w:rPr>
              <w:t>лковского муниципального района</w:t>
            </w:r>
          </w:p>
          <w:p w:rsidR="004A7B83" w:rsidRDefault="005F3111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 по разработке муниципальных НПА о стратегическом планировании</w:t>
            </w:r>
          </w:p>
          <w:p w:rsidR="005F3111" w:rsidRPr="008F6EF1" w:rsidRDefault="005F3111" w:rsidP="005F31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администрации Ичалковского муниципального района</w:t>
            </w:r>
          </w:p>
          <w:p w:rsidR="005F3111" w:rsidRPr="008F6EF1" w:rsidRDefault="005F3111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Юридическое управление администрации Ичалковского муниципального района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C411EA" w:rsidRPr="008F6EF1" w:rsidRDefault="00B96F2C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C411EA" w:rsidRDefault="00C411EA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jc w:val="center"/>
              <w:rPr>
                <w:rFonts w:ascii="Times New Roman" w:hAnsi="Times New Roman" w:cs="Times New Roman"/>
              </w:rPr>
            </w:pPr>
          </w:p>
          <w:p w:rsidR="00B96F2C" w:rsidRDefault="00B96F2C" w:rsidP="005F3111">
            <w:pPr>
              <w:jc w:val="center"/>
              <w:rPr>
                <w:rFonts w:ascii="Times New Roman" w:hAnsi="Times New Roman" w:cs="Times New Roman"/>
              </w:rPr>
            </w:pPr>
          </w:p>
          <w:p w:rsidR="00B96F2C" w:rsidRPr="005F3111" w:rsidRDefault="00B96F2C" w:rsidP="005F3111">
            <w:pPr>
              <w:jc w:val="center"/>
              <w:rPr>
                <w:rFonts w:ascii="Times New Roman" w:hAnsi="Times New Roman" w:cs="Times New Roman"/>
              </w:rPr>
            </w:pPr>
          </w:p>
          <w:p w:rsidR="005F3111" w:rsidRPr="005F3111" w:rsidRDefault="005F3111" w:rsidP="00683BFA">
            <w:pPr>
              <w:ind w:firstLine="0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ind w:firstLine="0"/>
              <w:rPr>
                <w:rFonts w:ascii="Times New Roman" w:hAnsi="Times New Roman" w:cs="Times New Roman"/>
              </w:rPr>
            </w:pPr>
          </w:p>
          <w:p w:rsidR="00C411EA" w:rsidRPr="005F3111" w:rsidRDefault="00B96F2C" w:rsidP="005F311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2023</w:t>
            </w:r>
          </w:p>
        </w:tc>
      </w:tr>
      <w:tr w:rsidR="00123155" w:rsidRPr="008F6EF1" w:rsidTr="00123155">
        <w:trPr>
          <w:trHeight w:val="305"/>
        </w:trPr>
        <w:tc>
          <w:tcPr>
            <w:tcW w:w="5000" w:type="pct"/>
            <w:gridSpan w:val="5"/>
          </w:tcPr>
          <w:p w:rsidR="00123155" w:rsidRPr="00D41B5A" w:rsidRDefault="00123155" w:rsidP="00123155">
            <w:pPr>
              <w:tabs>
                <w:tab w:val="left" w:pos="594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инвестиционной и предпринимательской деятельности</w:t>
            </w:r>
          </w:p>
        </w:tc>
      </w:tr>
      <w:tr w:rsidR="00123155" w:rsidRPr="008F6EF1" w:rsidTr="005F3111">
        <w:trPr>
          <w:trHeight w:val="710"/>
        </w:trPr>
        <w:tc>
          <w:tcPr>
            <w:tcW w:w="893" w:type="pct"/>
          </w:tcPr>
          <w:p w:rsidR="00123155" w:rsidRPr="008F6EF1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НПА, затрагивающие вопросы инвестиционной и предпринимательской деятельности с нарушениями, запреты и ограничения для </w:t>
            </w:r>
            <w:r>
              <w:rPr>
                <w:rFonts w:ascii="Times New Roman" w:hAnsi="Times New Roman" w:cs="Times New Roman"/>
              </w:rPr>
              <w:lastRenderedPageBreak/>
              <w:t>хозяйствующих субъектов</w:t>
            </w:r>
          </w:p>
        </w:tc>
        <w:tc>
          <w:tcPr>
            <w:tcW w:w="1206" w:type="pct"/>
          </w:tcPr>
          <w:p w:rsidR="00123155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Доступность и открытость информации о НПА в сфере инвестиционной и предпринимательской деятельности</w:t>
            </w:r>
          </w:p>
          <w:p w:rsidR="00123155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снижение рисков, </w:t>
            </w:r>
            <w:r>
              <w:rPr>
                <w:rFonts w:ascii="Times New Roman" w:hAnsi="Times New Roman" w:cs="Times New Roman"/>
              </w:rPr>
              <w:lastRenderedPageBreak/>
              <w:t>предотвращение и (или) выявление нарушений, запреты и ограничения для хозяйствующих субъектов</w:t>
            </w:r>
          </w:p>
        </w:tc>
        <w:tc>
          <w:tcPr>
            <w:tcW w:w="1326" w:type="pct"/>
          </w:tcPr>
          <w:p w:rsidR="00123155" w:rsidRDefault="00123155" w:rsidP="00266175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Размещение на официальном сайте администрации Ичалковского муниципального района «Развитие конкуренции и инвестиционной деятельности»</w:t>
            </w:r>
          </w:p>
          <w:p w:rsidR="00123155" w:rsidRDefault="00123155" w:rsidP="00266175">
            <w:pPr>
              <w:widowControl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123155" w:rsidRDefault="00123155" w:rsidP="00266175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оценки регулирующего </w:t>
            </w:r>
            <w:r>
              <w:rPr>
                <w:rFonts w:ascii="Times New Roman" w:hAnsi="Times New Roman" w:cs="Times New Roman"/>
              </w:rPr>
              <w:lastRenderedPageBreak/>
              <w:t>воздействия проектов НПА и экспертизы НПА</w:t>
            </w:r>
          </w:p>
          <w:p w:rsidR="00123155" w:rsidRPr="008F6EF1" w:rsidRDefault="00123155" w:rsidP="00266175">
            <w:pPr>
              <w:widowControl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123155" w:rsidRPr="008F6EF1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529" w:type="pct"/>
          </w:tcPr>
          <w:p w:rsidR="00123155" w:rsidRPr="008F6EF1" w:rsidRDefault="00F31288" w:rsidP="00B96F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23155">
              <w:rPr>
                <w:rFonts w:ascii="Times New Roman" w:hAnsi="Times New Roman" w:cs="Times New Roman"/>
              </w:rPr>
              <w:t>202</w:t>
            </w:r>
            <w:r w:rsidR="00B96F2C">
              <w:rPr>
                <w:rFonts w:ascii="Times New Roman" w:hAnsi="Times New Roman" w:cs="Times New Roman"/>
              </w:rPr>
              <w:t>3</w:t>
            </w:r>
          </w:p>
        </w:tc>
      </w:tr>
      <w:tr w:rsidR="00F57FE2" w:rsidRPr="008F6EF1" w:rsidTr="00F57FE2">
        <w:trPr>
          <w:trHeight w:val="260"/>
        </w:trPr>
        <w:tc>
          <w:tcPr>
            <w:tcW w:w="5000" w:type="pct"/>
            <w:gridSpan w:val="5"/>
          </w:tcPr>
          <w:p w:rsidR="00F57FE2" w:rsidRPr="00D41B5A" w:rsidRDefault="00F57FE2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lastRenderedPageBreak/>
              <w:t>В сфере закупок товаров, работ, услуг для обеспечения государственных и муниципальных нужд</w:t>
            </w:r>
          </w:p>
        </w:tc>
      </w:tr>
      <w:tr w:rsidR="00123155" w:rsidRPr="008F6EF1" w:rsidTr="005F3111">
        <w:tc>
          <w:tcPr>
            <w:tcW w:w="893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F6EF1">
              <w:rPr>
                <w:rFonts w:ascii="Times New Roman" w:hAnsi="Times New Roman" w:cs="Times New Roman"/>
              </w:rPr>
              <w:t>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ограничение количества участников закупки</w:t>
            </w:r>
          </w:p>
        </w:tc>
        <w:tc>
          <w:tcPr>
            <w:tcW w:w="1206" w:type="pct"/>
          </w:tcPr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 регулярное </w:t>
            </w: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регулярное </w:t>
            </w:r>
            <w:r w:rsidRPr="008F6EF1">
              <w:rPr>
                <w:rFonts w:ascii="Times New Roman" w:hAnsi="Times New Roman" w:cs="Times New Roman"/>
              </w:rPr>
              <w:t>обучение сотрудников</w:t>
            </w:r>
          </w:p>
        </w:tc>
        <w:tc>
          <w:tcPr>
            <w:tcW w:w="1326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Соблюдение требований законодательства, наставничество;</w:t>
            </w: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N/>
              <w:adjustRightInd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 сотрудников в сфере закупок</w:t>
            </w:r>
          </w:p>
          <w:p w:rsidR="00123155" w:rsidRPr="008F6EF1" w:rsidRDefault="00123155" w:rsidP="008F6EF1">
            <w:pPr>
              <w:widowControl/>
              <w:autoSpaceDN/>
              <w:adjustRightInd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683BFA" w:rsidRDefault="00123155" w:rsidP="00FC3418">
            <w:pPr>
              <w:ind w:firstLine="0"/>
              <w:rPr>
                <w:rFonts w:ascii="Times New Roman" w:hAnsi="Times New Roman" w:cs="Times New Roman"/>
              </w:rPr>
            </w:pPr>
          </w:p>
          <w:p w:rsidR="00123155" w:rsidRDefault="00123155" w:rsidP="00683BFA">
            <w:pPr>
              <w:rPr>
                <w:rFonts w:ascii="Times New Roman" w:hAnsi="Times New Roman" w:cs="Times New Roman"/>
              </w:rPr>
            </w:pPr>
          </w:p>
          <w:p w:rsidR="00123155" w:rsidRPr="00683BFA" w:rsidRDefault="00123155" w:rsidP="00683B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обслуживания муниципальных учреждений Ичалковского муниицпального района»</w:t>
            </w:r>
          </w:p>
        </w:tc>
        <w:tc>
          <w:tcPr>
            <w:tcW w:w="529" w:type="pct"/>
          </w:tcPr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по плану графику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BC12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до декабря 20</w:t>
            </w:r>
            <w:r>
              <w:rPr>
                <w:rFonts w:ascii="Times New Roman" w:hAnsi="Times New Roman" w:cs="Times New Roman"/>
              </w:rPr>
              <w:t>2</w:t>
            </w:r>
            <w:r w:rsidR="00B96F2C">
              <w:rPr>
                <w:rFonts w:ascii="Times New Roman" w:hAnsi="Times New Roman" w:cs="Times New Roman"/>
              </w:rPr>
              <w:t>3</w:t>
            </w:r>
            <w:r w:rsidRPr="008F6EF1">
              <w:rPr>
                <w:rFonts w:ascii="Times New Roman" w:hAnsi="Times New Roman" w:cs="Times New Roman"/>
              </w:rPr>
              <w:t xml:space="preserve"> г.</w:t>
            </w:r>
          </w:p>
          <w:p w:rsidR="00123155" w:rsidRPr="00683BFA" w:rsidRDefault="00123155" w:rsidP="00683BF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3155" w:rsidRPr="008F6EF1" w:rsidTr="00123155">
        <w:tc>
          <w:tcPr>
            <w:tcW w:w="5000" w:type="pct"/>
            <w:gridSpan w:val="5"/>
          </w:tcPr>
          <w:p w:rsidR="00123155" w:rsidRPr="00D41B5A" w:rsidRDefault="00123155" w:rsidP="001231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предоставления государственных и муниципальных услуг</w:t>
            </w:r>
          </w:p>
        </w:tc>
      </w:tr>
      <w:tr w:rsidR="00123155" w:rsidRPr="008F6EF1" w:rsidTr="005F3111">
        <w:tc>
          <w:tcPr>
            <w:tcW w:w="893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истребование документов, непредусмотренных действующим законодательством при предоставлении муниципальных услуг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нарушение установленных законодательством сроков предоставления муниципальных услуг</w:t>
            </w:r>
          </w:p>
        </w:tc>
        <w:tc>
          <w:tcPr>
            <w:tcW w:w="1206" w:type="pct"/>
          </w:tcPr>
          <w:p w:rsidR="00123155" w:rsidRPr="008F6EF1" w:rsidRDefault="00123155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1326" w:type="pct"/>
          </w:tcPr>
          <w:p w:rsidR="00F57FE2" w:rsidRDefault="00F57FE2" w:rsidP="00FC3418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FC3418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Соблюдение административных регламентов наставничество;</w:t>
            </w:r>
          </w:p>
          <w:p w:rsidR="00123155" w:rsidRPr="008F6EF1" w:rsidRDefault="00123155" w:rsidP="008F6EF1">
            <w:pPr>
              <w:widowControl/>
              <w:autoSpaceDN/>
              <w:adjustRightInd/>
              <w:ind w:firstLine="34"/>
              <w:rPr>
                <w:rFonts w:ascii="Times New Roman" w:hAnsi="Times New Roman" w:cs="Times New Roman"/>
              </w:rPr>
            </w:pPr>
          </w:p>
          <w:p w:rsidR="00F57FE2" w:rsidRDefault="00F57FE2" w:rsidP="00F57F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57FE2" w:rsidRPr="008F6EF1" w:rsidRDefault="00F57FE2" w:rsidP="00F57F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Мониторинг и анализ выявленных нарушений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Юридическое управление администрации Ичалковского муниципального района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4CA2" w:rsidRDefault="002B4CA2" w:rsidP="00BC12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4CA2" w:rsidRDefault="002B4CA2" w:rsidP="00BC12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B96F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96F2C">
              <w:rPr>
                <w:rFonts w:ascii="Times New Roman" w:hAnsi="Times New Roman" w:cs="Times New Roman"/>
              </w:rPr>
              <w:t>3</w:t>
            </w:r>
            <w:r w:rsidRPr="008F6EF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8F6EF1" w:rsidRDefault="008F6EF1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sectPr w:rsidR="008F6EF1" w:rsidSect="00A33DC7">
          <w:pgSz w:w="16800" w:h="11900" w:orient="landscape"/>
          <w:pgMar w:top="709" w:right="992" w:bottom="799" w:left="1276" w:header="720" w:footer="720" w:gutter="0"/>
          <w:cols w:space="720"/>
          <w:noEndnote/>
        </w:sectPr>
      </w:pPr>
    </w:p>
    <w:p w:rsidR="000C1BFB" w:rsidRDefault="000C1BFB" w:rsidP="00D41B5A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0"/>
    <w:p w:rsidR="000C1BFB" w:rsidRDefault="000C1BFB" w:rsidP="0045578F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11D58" w:rsidRP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3</w:t>
      </w:r>
    </w:p>
    <w:p w:rsidR="00F11D58" w:rsidRP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 w:rsidR="005E001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постановл</w:t>
      </w: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ению администрации</w:t>
      </w: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Ичалковского муниципального района</w:t>
      </w: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                   №</w:t>
      </w: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11D58" w:rsidRDefault="00F11D58" w:rsidP="00F11D5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F11D58" w:rsidRDefault="00F11D58" w:rsidP="00F11D58">
      <w:pPr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эффективности антимонопольного </w:t>
      </w:r>
      <w:r w:rsidR="00CE1D5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012">
        <w:rPr>
          <w:rFonts w:ascii="Times New Roman" w:hAnsi="Times New Roman" w:cs="Times New Roman"/>
          <w:sz w:val="28"/>
          <w:szCs w:val="28"/>
        </w:rPr>
        <w:t xml:space="preserve">в </w:t>
      </w:r>
      <w:r w:rsidRPr="00E5284E">
        <w:rPr>
          <w:rFonts w:ascii="Times New Roman" w:hAnsi="Times New Roman"/>
          <w:sz w:val="28"/>
          <w:szCs w:val="28"/>
        </w:rPr>
        <w:t xml:space="preserve">администрации Ичалковского муниципального района </w:t>
      </w:r>
      <w:r>
        <w:rPr>
          <w:rFonts w:ascii="Times New Roman" w:hAnsi="Times New Roman"/>
          <w:sz w:val="28"/>
          <w:szCs w:val="28"/>
        </w:rPr>
        <w:t>на 20</w:t>
      </w:r>
      <w:r w:rsidR="00BC1242">
        <w:rPr>
          <w:rFonts w:ascii="Times New Roman" w:hAnsi="Times New Roman"/>
          <w:sz w:val="28"/>
          <w:szCs w:val="28"/>
        </w:rPr>
        <w:t>2</w:t>
      </w:r>
      <w:r w:rsidR="00B96F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11D58" w:rsidRDefault="00F11D58" w:rsidP="00F11D5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7"/>
        <w:gridCol w:w="3942"/>
        <w:gridCol w:w="2387"/>
        <w:gridCol w:w="767"/>
        <w:gridCol w:w="2553"/>
      </w:tblGrid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№</w:t>
            </w:r>
          </w:p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Ключевой показатель эффективности,(%)</w:t>
            </w:r>
          </w:p>
        </w:tc>
      </w:tr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Доля проектов нормативных правовых актов администрации Ичалковского муниципального района, в которых выявлены риски нарушения антимонопольного законодательства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Юридическое управление</w:t>
            </w:r>
          </w:p>
        </w:tc>
        <w:tc>
          <w:tcPr>
            <w:tcW w:w="0" w:type="auto"/>
          </w:tcPr>
          <w:p w:rsidR="00F11D58" w:rsidRPr="005F7CF8" w:rsidRDefault="00F11D58" w:rsidP="00BC124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22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</w:tr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Доля сотрудников администрации Ичалковского муниципального района,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Отдел по работе с персоналом</w:t>
            </w:r>
          </w:p>
        </w:tc>
        <w:tc>
          <w:tcPr>
            <w:tcW w:w="0" w:type="auto"/>
          </w:tcPr>
          <w:p w:rsidR="00F11D58" w:rsidRPr="005F7CF8" w:rsidRDefault="00F11D58" w:rsidP="00BC124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22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</w:t>
            </w:r>
          </w:p>
        </w:tc>
      </w:tr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Доля нормативных правовых актов администрации Ичалковского муниципального района, в которых выявлены риски нарушения антимонопольного законодательства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Юридическое управление</w:t>
            </w:r>
          </w:p>
        </w:tc>
        <w:tc>
          <w:tcPr>
            <w:tcW w:w="0" w:type="auto"/>
          </w:tcPr>
          <w:p w:rsidR="00F11D58" w:rsidRPr="005F7CF8" w:rsidRDefault="00F11D58" w:rsidP="00BC124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22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</w:tr>
      <w:tr w:rsidR="005F7CF8" w:rsidRPr="005F7CF8" w:rsidTr="005F7CF8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F11D58" w:rsidRPr="005F7CF8" w:rsidRDefault="00F11D58" w:rsidP="00B96F2C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Fonts w:ascii="Times New Roman" w:hAnsi="Times New Roman" w:cs="Times New Roman"/>
                <w:sz w:val="26"/>
                <w:szCs w:val="26"/>
              </w:rPr>
              <w:t xml:space="preserve">Коэфициент снижения количества нарушений антимонопольного законодательства со стороны 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администрации Ичалковского муниципального района</w:t>
            </w:r>
            <w:r w:rsidR="005F7CF8"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(по сравнению с 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B96F2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5F7CF8"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годом)</w:t>
            </w:r>
          </w:p>
        </w:tc>
        <w:tc>
          <w:tcPr>
            <w:tcW w:w="0" w:type="auto"/>
          </w:tcPr>
          <w:p w:rsidR="00F11D58" w:rsidRPr="005F7CF8" w:rsidRDefault="005F7CF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Администрация Ичалковского муниципального района</w:t>
            </w:r>
          </w:p>
        </w:tc>
        <w:tc>
          <w:tcPr>
            <w:tcW w:w="0" w:type="auto"/>
          </w:tcPr>
          <w:p w:rsidR="00F11D58" w:rsidRPr="005F7CF8" w:rsidRDefault="00F11D58" w:rsidP="00BC124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22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100</w:t>
            </w:r>
          </w:p>
        </w:tc>
      </w:tr>
    </w:tbl>
    <w:p w:rsidR="00F11D58" w:rsidRPr="00F11D58" w:rsidRDefault="00F11D58" w:rsidP="00F11D58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F11D58" w:rsidRPr="00F11D58" w:rsidSect="00772F3A">
      <w:pgSz w:w="11900" w:h="16800"/>
      <w:pgMar w:top="993" w:right="800" w:bottom="127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6C" w:rsidRDefault="008C026C" w:rsidP="00F31288">
      <w:r>
        <w:separator/>
      </w:r>
    </w:p>
  </w:endnote>
  <w:endnote w:type="continuationSeparator" w:id="0">
    <w:p w:rsidR="008C026C" w:rsidRDefault="008C026C" w:rsidP="00F3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8" w:rsidRDefault="00F31288">
    <w:pPr>
      <w:pStyle w:val="af"/>
    </w:pPr>
  </w:p>
  <w:p w:rsidR="00F31288" w:rsidRDefault="00F312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6C" w:rsidRDefault="008C026C" w:rsidP="00F31288">
      <w:r>
        <w:separator/>
      </w:r>
    </w:p>
  </w:footnote>
  <w:footnote w:type="continuationSeparator" w:id="0">
    <w:p w:rsidR="008C026C" w:rsidRDefault="008C026C" w:rsidP="00F3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181"/>
    <w:multiLevelType w:val="multilevel"/>
    <w:tmpl w:val="5D2CCCD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5C7D7F"/>
    <w:multiLevelType w:val="multilevel"/>
    <w:tmpl w:val="725A565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F7EC7"/>
    <w:multiLevelType w:val="multilevel"/>
    <w:tmpl w:val="CBC0224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A5E3F"/>
    <w:multiLevelType w:val="multilevel"/>
    <w:tmpl w:val="CBE6DEF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930AAF"/>
    <w:multiLevelType w:val="multilevel"/>
    <w:tmpl w:val="3D0ED52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A9"/>
    <w:rsid w:val="000736EE"/>
    <w:rsid w:val="000943D4"/>
    <w:rsid w:val="00096103"/>
    <w:rsid w:val="000C1BFB"/>
    <w:rsid w:val="00105015"/>
    <w:rsid w:val="00113C71"/>
    <w:rsid w:val="00123155"/>
    <w:rsid w:val="00137DF4"/>
    <w:rsid w:val="00192BC3"/>
    <w:rsid w:val="001B1B91"/>
    <w:rsid w:val="001C5CF3"/>
    <w:rsid w:val="0022212A"/>
    <w:rsid w:val="00266175"/>
    <w:rsid w:val="002A38D3"/>
    <w:rsid w:val="002B4CA2"/>
    <w:rsid w:val="002B7E95"/>
    <w:rsid w:val="002D2198"/>
    <w:rsid w:val="00300FCE"/>
    <w:rsid w:val="0036346A"/>
    <w:rsid w:val="00442D0D"/>
    <w:rsid w:val="00445B0E"/>
    <w:rsid w:val="0045578F"/>
    <w:rsid w:val="00460EB4"/>
    <w:rsid w:val="00485865"/>
    <w:rsid w:val="004A7B83"/>
    <w:rsid w:val="004B451C"/>
    <w:rsid w:val="00500A72"/>
    <w:rsid w:val="00514D9E"/>
    <w:rsid w:val="00554700"/>
    <w:rsid w:val="005852DB"/>
    <w:rsid w:val="005D2CCB"/>
    <w:rsid w:val="005D5D92"/>
    <w:rsid w:val="005E0012"/>
    <w:rsid w:val="005F3111"/>
    <w:rsid w:val="005F7CF8"/>
    <w:rsid w:val="00683BFA"/>
    <w:rsid w:val="00691329"/>
    <w:rsid w:val="006D439F"/>
    <w:rsid w:val="00714B28"/>
    <w:rsid w:val="00740474"/>
    <w:rsid w:val="00772F3A"/>
    <w:rsid w:val="00783880"/>
    <w:rsid w:val="00783CE4"/>
    <w:rsid w:val="007E719F"/>
    <w:rsid w:val="00802D10"/>
    <w:rsid w:val="00835F93"/>
    <w:rsid w:val="008903A8"/>
    <w:rsid w:val="008A6B2F"/>
    <w:rsid w:val="008B2190"/>
    <w:rsid w:val="008C026C"/>
    <w:rsid w:val="008E122E"/>
    <w:rsid w:val="008E2E1D"/>
    <w:rsid w:val="008F6EF1"/>
    <w:rsid w:val="009268CF"/>
    <w:rsid w:val="009502E1"/>
    <w:rsid w:val="00951EA3"/>
    <w:rsid w:val="009A7F54"/>
    <w:rsid w:val="009E481A"/>
    <w:rsid w:val="009E51D7"/>
    <w:rsid w:val="00A04593"/>
    <w:rsid w:val="00A108FD"/>
    <w:rsid w:val="00A10DCA"/>
    <w:rsid w:val="00A33DC7"/>
    <w:rsid w:val="00A65DB0"/>
    <w:rsid w:val="00A80D79"/>
    <w:rsid w:val="00AC0D75"/>
    <w:rsid w:val="00AE6A17"/>
    <w:rsid w:val="00B20FF8"/>
    <w:rsid w:val="00B309EB"/>
    <w:rsid w:val="00B5369F"/>
    <w:rsid w:val="00B541D1"/>
    <w:rsid w:val="00B57446"/>
    <w:rsid w:val="00B96F2C"/>
    <w:rsid w:val="00BC1242"/>
    <w:rsid w:val="00BD4A31"/>
    <w:rsid w:val="00BE0DD2"/>
    <w:rsid w:val="00C0172A"/>
    <w:rsid w:val="00C411EA"/>
    <w:rsid w:val="00CB47A2"/>
    <w:rsid w:val="00CE1D5E"/>
    <w:rsid w:val="00D32EA9"/>
    <w:rsid w:val="00D41B5A"/>
    <w:rsid w:val="00D50D72"/>
    <w:rsid w:val="00D6000E"/>
    <w:rsid w:val="00DD62A1"/>
    <w:rsid w:val="00E15D86"/>
    <w:rsid w:val="00E5284E"/>
    <w:rsid w:val="00E56B93"/>
    <w:rsid w:val="00E617C3"/>
    <w:rsid w:val="00E76BEC"/>
    <w:rsid w:val="00E860D9"/>
    <w:rsid w:val="00E95361"/>
    <w:rsid w:val="00EA3DE3"/>
    <w:rsid w:val="00F04832"/>
    <w:rsid w:val="00F11D58"/>
    <w:rsid w:val="00F31288"/>
    <w:rsid w:val="00F3754A"/>
    <w:rsid w:val="00F57FE2"/>
    <w:rsid w:val="00F878B6"/>
    <w:rsid w:val="00FA7BD9"/>
    <w:rsid w:val="00FC3418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442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2D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8F6EF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31288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3128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442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2D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8F6EF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31288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3128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2022-11-09T07:52:00Z</cp:lastPrinted>
  <dcterms:created xsi:type="dcterms:W3CDTF">2024-02-02T12:52:00Z</dcterms:created>
  <dcterms:modified xsi:type="dcterms:W3CDTF">2024-02-02T12:52:00Z</dcterms:modified>
</cp:coreProperties>
</file>