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99" w:rsidRPr="008D5EBE" w:rsidRDefault="005A5599" w:rsidP="00CB4B6C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Пояснительная записка к </w:t>
      </w:r>
      <w:proofErr w:type="gramStart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решению 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b/>
          <w:bCs/>
          <w:sz w:val="20"/>
          <w:szCs w:val="20"/>
        </w:rPr>
        <w:t>Совета</w:t>
      </w:r>
      <w:proofErr w:type="gramEnd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 депутатов</w:t>
      </w:r>
    </w:p>
    <w:p w:rsidR="005A5599" w:rsidRPr="008D5EBE" w:rsidRDefault="005A5599" w:rsidP="00CB4B6C">
      <w:pPr>
        <w:spacing w:line="276" w:lineRule="auto"/>
        <w:ind w:left="426" w:hanging="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8D5EBE">
        <w:rPr>
          <w:rFonts w:ascii="Times New Roman" w:hAnsi="Times New Roman" w:cs="Times New Roman"/>
          <w:b/>
          <w:bCs/>
          <w:sz w:val="20"/>
          <w:szCs w:val="20"/>
        </w:rPr>
        <w:t>Ичалковского</w:t>
      </w:r>
      <w:proofErr w:type="spellEnd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района </w:t>
      </w:r>
      <w:proofErr w:type="gramStart"/>
      <w:r w:rsidRPr="008D5EBE">
        <w:rPr>
          <w:rFonts w:ascii="Times New Roman" w:hAnsi="Times New Roman" w:cs="Times New Roman"/>
          <w:b/>
          <w:bCs/>
          <w:sz w:val="20"/>
          <w:szCs w:val="20"/>
        </w:rPr>
        <w:t>«  Об</w:t>
      </w:r>
      <w:proofErr w:type="gramEnd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 утверждении  отчета об исполнении  районного  бюджете </w:t>
      </w:r>
      <w:proofErr w:type="spellStart"/>
      <w:r w:rsidRPr="008D5EBE">
        <w:rPr>
          <w:rFonts w:ascii="Times New Roman" w:hAnsi="Times New Roman" w:cs="Times New Roman"/>
          <w:b/>
          <w:bCs/>
          <w:sz w:val="20"/>
          <w:szCs w:val="20"/>
        </w:rPr>
        <w:t>Ичалковского</w:t>
      </w:r>
      <w:proofErr w:type="spellEnd"/>
      <w:r w:rsidRPr="008D5EBE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района Республики Мордовия за 2017 год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В результате проводимой работы по улучшению делового климата в районе и совершенствованию администрирования доходных источников, увеличению налоговых и неналоговых доходов - доходная часть консолидированного бюджета практически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исполнена  и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составила почти  400 млн. рублей, в том числе собственные доходы – 87,3 млн. рублей, или 22 % в общем объеме.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Доходная часть районного бюджета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исполнена  и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составила 347,1 млн. рублей, в том числе собственные доходы – 64,8 млн. рублей, или 18,7 % в общем объеме.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Прогноз собственных доходов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 xml:space="preserve">консолидированного бюджета за 2017 год </w:t>
      </w:r>
      <w:proofErr w:type="spellStart"/>
      <w:r w:rsidRPr="008D5EBE">
        <w:rPr>
          <w:rFonts w:ascii="Times New Roman" w:hAnsi="Times New Roman" w:cs="Times New Roman"/>
          <w:b/>
          <w:bCs/>
          <w:sz w:val="20"/>
          <w:szCs w:val="20"/>
        </w:rPr>
        <w:t>Ичалковским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 xml:space="preserve"> муниципальным районом выполнен </w:t>
      </w:r>
      <w:r w:rsidRPr="008D5EBE">
        <w:rPr>
          <w:rFonts w:ascii="Times New Roman" w:hAnsi="Times New Roman" w:cs="Times New Roman"/>
          <w:b/>
          <w:bCs/>
          <w:sz w:val="20"/>
          <w:szCs w:val="20"/>
        </w:rPr>
        <w:t>на 101,6% (</w:t>
      </w:r>
      <w:r w:rsidRPr="008D5EBE">
        <w:rPr>
          <w:rFonts w:ascii="Times New Roman" w:hAnsi="Times New Roman" w:cs="Times New Roman"/>
          <w:sz w:val="20"/>
          <w:szCs w:val="20"/>
        </w:rPr>
        <w:t>прогноз 85936,0 тыс. руб., факт 87285,9 тыс. руб.). Дополнительно поступило 1349,9 тыс. руб. Темп роста к аналогичному периоду 2016 г. составил 106,9% с учетом поступления единовременных платежей 2017 года по штрафам в сумме 800,0 тыс. руб. Без учета данного штрафа темп роста составляет 105,9%.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Прогноз собственных доходов районного бюджета за 2017 год 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Ичалковским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 xml:space="preserve"> муниципальным районом выполнен на 101,1% (прогноз 64063,8 тыс. руб., факт 64768,4 тыс. руб.). Дополнительно поступило 611 тыс. руб. Темп роста к аналогичному периоду 2016 г. составил 100,1%.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Плановое задание не выполнено по налогу на доходы физических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лиц,  налогу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по аренде земли и по аренде имущества.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За 2017 год налог на доходы физических лиц поступил в сумме 39052,0 тыс. руб., что составило – 97,3% к прогнозу. Темп роста к уровню предшествующего года 103,9%.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Выполнение прогноза единого налога на вмененный доход составило 101,3%. Всего за год в бюджетную систему района поступило 5894,3 тыс. руб. данного налога. Поступили авансовые платежи от ООО «Сфера», ООО «Новое время».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Больше прогнозного назначения поступил ЕСХН – 203,9% (план 1132,6 тыс. руб., факт 2309,5 тыс. руб.). Поступили авансовые платежи от ООО «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Агропромсервис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>, ЗАО «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Ичалки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 xml:space="preserve">», ЗАО «Культура», КФХ.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Прогнозное назначение не выполнено по платежам за аренду земли на 99,4% - за год поступление составило 3015,0 тыс. руб. (-17,4 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тыс.руб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>.)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Прогноз по платежам за аренду имущества выполнен на 74,5%. Не в полном объеме поступили платежи от индивидуальных предпринимателей.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Прогноз по оплате за негативное воздействие на окружающую среду за 2017 г. выполнен на 93,5% (план 350,0 тыс. руб., факт 327,3 тыс. руб.).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За 2017 г. госпошлина поступила в сумме 1611,9 тыс. руб. или 102,8% к прогнозу.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Поступление по штрафам составило 1619,5 тыс. руб. или 302,1% к прогнозу. (с учетом поступления единовременных платежей 2017 года по штрафам в сумме 800,0 тыс. рублей)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Субсидия,  выплачиваемая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в зависимости от выполнения социально-экономических показателей, поступила в районный бюджет в полном объеме в сумме 40854,5 тысяч рублей.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Дотация  из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Фонда финансовой поддержки муниципальных районов на выравнивание бюджетной обеспеченности поступила в сумме 37037,6 тысяч рублей или 100% к прогнозу.  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Целевые субвенции по переданным полномочиям поступили в сумме 159617,1 тысяч рублей или 98,25 к плану.</w:t>
      </w:r>
    </w:p>
    <w:p w:rsidR="005A5599" w:rsidRPr="008D5EBE" w:rsidRDefault="005A5599" w:rsidP="0001360D">
      <w:pPr>
        <w:jc w:val="both"/>
        <w:rPr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>Иные межбюджетные трансферты поступили в сумме 11331,1 тысяч рублей или 98,35 к плану.</w:t>
      </w:r>
      <w:r w:rsidRPr="008D5EBE">
        <w:rPr>
          <w:sz w:val="20"/>
          <w:szCs w:val="20"/>
        </w:rPr>
        <w:t xml:space="preserve">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В 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Ичалковском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 xml:space="preserve"> муниципальном район на конец 2017 года функционирует 52 муниципальных учреждения Из районного бюджета получают субсидию на выполнение муниципального задания  30 бюджетных  учреждений: 15 общеобразовательных и 9 дошкольных учреждений, 3  учреждения дополнительного образования, 2 учреждений культуры,  1 многофункциональный центр предоставления </w:t>
      </w:r>
      <w:r w:rsidRPr="008D5EBE">
        <w:rPr>
          <w:rFonts w:ascii="Times New Roman" w:hAnsi="Times New Roman" w:cs="Times New Roman"/>
          <w:sz w:val="20"/>
          <w:szCs w:val="20"/>
        </w:rPr>
        <w:lastRenderedPageBreak/>
        <w:t xml:space="preserve">государственных и муниципальных услуг; 17 участниках бюджетного процесса – (администрация </w:t>
      </w:r>
      <w:proofErr w:type="spellStart"/>
      <w:r w:rsidRPr="008D5EBE">
        <w:rPr>
          <w:rFonts w:ascii="Times New Roman" w:hAnsi="Times New Roman" w:cs="Times New Roman"/>
          <w:sz w:val="20"/>
          <w:szCs w:val="20"/>
        </w:rPr>
        <w:t>Ичалковского</w:t>
      </w:r>
      <w:proofErr w:type="spellEnd"/>
      <w:r w:rsidRPr="008D5EBE">
        <w:rPr>
          <w:rFonts w:ascii="Times New Roman" w:hAnsi="Times New Roman" w:cs="Times New Roman"/>
          <w:sz w:val="20"/>
          <w:szCs w:val="20"/>
        </w:rPr>
        <w:t xml:space="preserve"> муниципального района, финансовое управление администрации, управление образования и 14 администраций сельских поселений); 5 казенных учреждений.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</w:t>
      </w:r>
      <w:r w:rsidRPr="008D5EBE">
        <w:rPr>
          <w:rFonts w:ascii="Times New Roman" w:hAnsi="Times New Roman" w:cs="Times New Roman"/>
          <w:sz w:val="20"/>
          <w:szCs w:val="20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и составила по педагогическим работникам школ и дополнительного образования - 23,2 тыс. рублей, детсадов 20,0 тыс.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рублей,  среднемесячная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 заработная плата работников культуры составила 19,7 тыс. рублей.</w:t>
      </w:r>
      <w:r w:rsidRPr="008D5EBE">
        <w:rPr>
          <w:sz w:val="20"/>
          <w:szCs w:val="20"/>
        </w:rPr>
        <w:t xml:space="preserve">          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Значительные  средства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были направлены на финансирование социальной сферы района, удельный вес их - 76,7%,  что в сумме составляет -258,9 млн рублей млн. рублей,  из них на оплату труда направлено 173,7 млн. рублей.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По  основным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  статьям бюджетной классификации  расходы бюджета 2017 года составили: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-на выплату заработной платы всем работникам бюджетной сферы - 227 млн.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рублей  или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 67,2 %  от  всех расходов 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>-на оплату энергоносителей - 20,1 млн. рублей или 6%</w:t>
      </w:r>
      <w:r w:rsidRPr="008D5EBE">
        <w:rPr>
          <w:sz w:val="20"/>
          <w:szCs w:val="20"/>
        </w:rPr>
        <w:t xml:space="preserve">   </w:t>
      </w:r>
      <w:r w:rsidRPr="008D5EBE">
        <w:rPr>
          <w:rFonts w:ascii="Times New Roman" w:hAnsi="Times New Roman" w:cs="Times New Roman"/>
          <w:sz w:val="20"/>
          <w:szCs w:val="20"/>
        </w:rPr>
        <w:t>от общего объема расходов 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-на оплату услуг связи и электронного документооборота - 2,4 млн. рублей или 0,7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%</w:t>
      </w:r>
      <w:r w:rsidRPr="008D5EBE">
        <w:rPr>
          <w:sz w:val="20"/>
          <w:szCs w:val="20"/>
        </w:rPr>
        <w:t xml:space="preserve">  </w:t>
      </w:r>
      <w:r w:rsidRPr="008D5EBE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общего объема расходов 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-на увеличение материальных   запасов -35,4 млн. рублей или 10,5 %  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>от общего объема расходов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>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-на строительство и инвестиции -11,1 млн рублей  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>от общего объема расходов 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По  отраслям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 бюджетной сферы финансирование из бюджета  распределилось следующим образом: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-по отрасли образования расходы составили 207,9 млн. руб. или 61,6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%  к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общему объему бюджета;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>-по культуре 31,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8  млн.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руб.  что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составляет  9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>,4 % к общим расходам 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>-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 xml:space="preserve">социальная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политика  профинансирована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 в сумме 18,6 млн. руб., что составляет  5,5 % к общим расходам;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>- по органам управления 40,6 млн. рублей или 12 % к общим расходам бюджета.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Расходы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на  содержание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>,  ремонт и строительство дорог местного значения  составили 25,4 млн. рублей, в том числе из средств дорожного фонда района составили 7,4 млн. рублей.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</w:t>
      </w:r>
      <w:r w:rsidRPr="008D5EBE">
        <w:rPr>
          <w:sz w:val="20"/>
          <w:szCs w:val="20"/>
        </w:rPr>
        <w:t xml:space="preserve"> </w:t>
      </w:r>
      <w:r w:rsidRPr="008D5EBE">
        <w:rPr>
          <w:rFonts w:ascii="Times New Roman" w:hAnsi="Times New Roman" w:cs="Times New Roman"/>
          <w:sz w:val="20"/>
          <w:szCs w:val="20"/>
        </w:rPr>
        <w:t xml:space="preserve">Приобретено 3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новых  квартиры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для детей-сирот, стоимостью 3,3 млн. рублей.</w:t>
      </w:r>
    </w:p>
    <w:p w:rsidR="005A5599" w:rsidRPr="008D5EBE" w:rsidRDefault="005A5599" w:rsidP="0001360D">
      <w:pPr>
        <w:jc w:val="both"/>
        <w:rPr>
          <w:rFonts w:ascii="Times New Roman" w:hAnsi="Times New Roman" w:cs="Times New Roman"/>
          <w:sz w:val="20"/>
          <w:szCs w:val="20"/>
        </w:rPr>
      </w:pPr>
      <w:r w:rsidRPr="008D5EBE">
        <w:rPr>
          <w:rFonts w:ascii="Times New Roman" w:hAnsi="Times New Roman" w:cs="Times New Roman"/>
          <w:sz w:val="20"/>
          <w:szCs w:val="20"/>
        </w:rPr>
        <w:t xml:space="preserve">         Дополнительно с районного бюджета направлены денежные средства на </w:t>
      </w:r>
      <w:proofErr w:type="gramStart"/>
      <w:r w:rsidRPr="008D5EBE">
        <w:rPr>
          <w:rFonts w:ascii="Times New Roman" w:hAnsi="Times New Roman" w:cs="Times New Roman"/>
          <w:sz w:val="20"/>
          <w:szCs w:val="20"/>
        </w:rPr>
        <w:t>проведение  капитального</w:t>
      </w:r>
      <w:proofErr w:type="gramEnd"/>
      <w:r w:rsidRPr="008D5EBE">
        <w:rPr>
          <w:rFonts w:ascii="Times New Roman" w:hAnsi="Times New Roman" w:cs="Times New Roman"/>
          <w:sz w:val="20"/>
          <w:szCs w:val="20"/>
        </w:rPr>
        <w:t xml:space="preserve"> ремонта,   приобретение оборудования, укрепление  материально-технической базы бюджетных учреждений по всем отраслям бюджетной сферы  в сумме 6,9 млн. рублей.</w:t>
      </w:r>
    </w:p>
    <w:p w:rsidR="005A5599" w:rsidRPr="008D5EBE" w:rsidRDefault="005A5599" w:rsidP="0001360D">
      <w:pPr>
        <w:jc w:val="both"/>
        <w:rPr>
          <w:sz w:val="20"/>
          <w:szCs w:val="20"/>
        </w:rPr>
      </w:pPr>
    </w:p>
    <w:bookmarkEnd w:id="0"/>
    <w:p w:rsidR="005A5599" w:rsidRPr="008D5EBE" w:rsidRDefault="005A5599" w:rsidP="0001360D">
      <w:pPr>
        <w:jc w:val="both"/>
        <w:rPr>
          <w:sz w:val="20"/>
          <w:szCs w:val="20"/>
        </w:rPr>
      </w:pPr>
    </w:p>
    <w:p w:rsidR="005A5599" w:rsidRPr="008D5EBE" w:rsidRDefault="005A5599" w:rsidP="0001360D">
      <w:pPr>
        <w:jc w:val="both"/>
        <w:rPr>
          <w:sz w:val="20"/>
          <w:szCs w:val="20"/>
        </w:rPr>
      </w:pPr>
    </w:p>
    <w:p w:rsidR="005A5599" w:rsidRPr="008D5EBE" w:rsidRDefault="005A5599" w:rsidP="0001360D">
      <w:pPr>
        <w:jc w:val="both"/>
        <w:rPr>
          <w:sz w:val="20"/>
          <w:szCs w:val="20"/>
        </w:rPr>
      </w:pPr>
    </w:p>
    <w:p w:rsidR="005A5599" w:rsidRPr="008D5EBE" w:rsidRDefault="005A5599" w:rsidP="0001360D">
      <w:pPr>
        <w:jc w:val="both"/>
        <w:rPr>
          <w:sz w:val="20"/>
          <w:szCs w:val="20"/>
        </w:rPr>
      </w:pPr>
    </w:p>
    <w:p w:rsidR="005A5599" w:rsidRPr="008D5EBE" w:rsidRDefault="005A5599" w:rsidP="0001360D">
      <w:pPr>
        <w:jc w:val="both"/>
        <w:rPr>
          <w:sz w:val="20"/>
          <w:szCs w:val="20"/>
        </w:rPr>
      </w:pPr>
    </w:p>
    <w:p w:rsidR="005A5599" w:rsidRPr="008D5EBE" w:rsidRDefault="005A5599">
      <w:pPr>
        <w:rPr>
          <w:sz w:val="20"/>
          <w:szCs w:val="20"/>
        </w:rPr>
      </w:pPr>
    </w:p>
    <w:sectPr w:rsidR="005A5599" w:rsidRPr="008D5EBE" w:rsidSect="0016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B66"/>
    <w:rsid w:val="0001360D"/>
    <w:rsid w:val="000E3822"/>
    <w:rsid w:val="001219F5"/>
    <w:rsid w:val="001518AF"/>
    <w:rsid w:val="00166AAE"/>
    <w:rsid w:val="002872C4"/>
    <w:rsid w:val="002D354C"/>
    <w:rsid w:val="00347B4F"/>
    <w:rsid w:val="00401DA1"/>
    <w:rsid w:val="00413EBE"/>
    <w:rsid w:val="004333AF"/>
    <w:rsid w:val="004350DC"/>
    <w:rsid w:val="0045192A"/>
    <w:rsid w:val="004562F9"/>
    <w:rsid w:val="00463C8C"/>
    <w:rsid w:val="005A5599"/>
    <w:rsid w:val="0063555C"/>
    <w:rsid w:val="006D4B66"/>
    <w:rsid w:val="00703362"/>
    <w:rsid w:val="007F2240"/>
    <w:rsid w:val="00835386"/>
    <w:rsid w:val="008D5EBE"/>
    <w:rsid w:val="00997A5B"/>
    <w:rsid w:val="00A13817"/>
    <w:rsid w:val="00AC4688"/>
    <w:rsid w:val="00BD3A88"/>
    <w:rsid w:val="00BF311D"/>
    <w:rsid w:val="00CB4B6C"/>
    <w:rsid w:val="00D46382"/>
    <w:rsid w:val="00E22FFF"/>
    <w:rsid w:val="00E23FA2"/>
    <w:rsid w:val="00EA257C"/>
    <w:rsid w:val="00E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D96D52-0EB2-4B81-9665-9A8BD19C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AE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47B4F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B4F"/>
    <w:rPr>
      <w:rFonts w:ascii="Calibri Light" w:hAnsi="Calibri Light" w:cs="Calibri Light"/>
      <w:color w:val="2E74B5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013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60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7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Ичалковского района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Ксения Винокурова</cp:lastModifiedBy>
  <cp:revision>12</cp:revision>
  <cp:lastPrinted>2018-05-23T08:51:00Z</cp:lastPrinted>
  <dcterms:created xsi:type="dcterms:W3CDTF">2018-04-24T10:52:00Z</dcterms:created>
  <dcterms:modified xsi:type="dcterms:W3CDTF">2018-05-23T12:51:00Z</dcterms:modified>
</cp:coreProperties>
</file>